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87" w:rsidRPr="005D356B" w:rsidRDefault="005D356B" w:rsidP="007033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356B">
        <w:rPr>
          <w:rFonts w:ascii="Times New Roman" w:hAnsi="Times New Roman" w:cs="Times New Roman"/>
          <w:b/>
          <w:sz w:val="24"/>
          <w:szCs w:val="24"/>
        </w:rPr>
        <w:t xml:space="preserve">SPORTKÖZGAZDÁSZ: </w:t>
      </w:r>
      <w:r w:rsidR="004F6A62" w:rsidRPr="005D356B">
        <w:rPr>
          <w:rFonts w:ascii="Times New Roman" w:hAnsi="Times New Roman" w:cs="Times New Roman"/>
          <w:b/>
          <w:sz w:val="24"/>
          <w:szCs w:val="24"/>
        </w:rPr>
        <w:t>Záróvizsga tételek</w:t>
      </w:r>
    </w:p>
    <w:p w:rsidR="00A17587" w:rsidRDefault="00A17587" w:rsidP="0070332A">
      <w:pPr>
        <w:spacing w:after="0" w:line="360" w:lineRule="auto"/>
        <w:jc w:val="both"/>
      </w:pPr>
    </w:p>
    <w:p w:rsidR="0070332A" w:rsidRPr="0070332A" w:rsidRDefault="003E2296" w:rsidP="007033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téte</w:t>
      </w:r>
      <w:r w:rsidR="0070332A" w:rsidRPr="0070332A">
        <w:rPr>
          <w:rFonts w:ascii="Times New Roman" w:hAnsi="Times New Roman" w:cs="Times New Roman"/>
          <w:b/>
          <w:sz w:val="24"/>
          <w:szCs w:val="24"/>
        </w:rPr>
        <w:t>lek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hivatásos csapat sportok rövid és hosszú távú termelési folyamatának sportközgazdasági alapösszefüggéseit.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ligák kialakulásának, fejlődésük és sajátosságaik sportközgazdasági okai, mozgatórúgói. A sportligák modellszerű felépítése, egy-egy példával a nagy amerikai ligák egyes sajátossága.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versenyegyensúly sportközgazdasági elmélete, és annak mérési eszköztára.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bizonytalan kimenet sportközgazdasági elmélete és a sporteseményt helyszínen megtekintő nézők keresletének jellemzői.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hivatásos munkaerő piaca, annak működésének alapösszefüggései.</w:t>
      </w:r>
    </w:p>
    <w:p w:rsidR="00A97B7F" w:rsidRPr="00C74099" w:rsidRDefault="00A97B7F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Sportszervezetek számviteli sajátosságai</w:t>
      </w:r>
      <w:r w:rsidR="00C74099">
        <w:rPr>
          <w:rFonts w:ascii="Times New Roman" w:hAnsi="Times New Roman" w:cs="Times New Roman"/>
          <w:sz w:val="24"/>
          <w:szCs w:val="24"/>
        </w:rPr>
        <w:t>.</w:t>
      </w:r>
    </w:p>
    <w:p w:rsidR="00A97B7F" w:rsidRPr="00C74099" w:rsidRDefault="00A97B7F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Labdarúgó vállalkozások nemzetközi licencia el</w:t>
      </w:r>
      <w:r w:rsidR="00BB6C57" w:rsidRPr="00C74099">
        <w:rPr>
          <w:rFonts w:ascii="Times New Roman" w:hAnsi="Times New Roman" w:cs="Times New Roman"/>
          <w:sz w:val="24"/>
          <w:szCs w:val="24"/>
        </w:rPr>
        <w:t>járásainak számviteli vonatkozásai</w:t>
      </w:r>
      <w:r w:rsidR="00C74099">
        <w:rPr>
          <w:rFonts w:ascii="Times New Roman" w:hAnsi="Times New Roman" w:cs="Times New Roman"/>
          <w:sz w:val="24"/>
          <w:szCs w:val="24"/>
        </w:rPr>
        <w:t>.</w:t>
      </w:r>
    </w:p>
    <w:p w:rsidR="00A97B7F" w:rsidRPr="00C74099" w:rsidRDefault="00A97B7F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Sportszervezetek szervezeti felépítésének sajátosságai, vezetése</w:t>
      </w:r>
      <w:r w:rsidR="00C74099">
        <w:rPr>
          <w:rFonts w:ascii="Times New Roman" w:hAnsi="Times New Roman" w:cs="Times New Roman"/>
          <w:sz w:val="24"/>
          <w:szCs w:val="24"/>
        </w:rPr>
        <w:t>.</w:t>
      </w:r>
    </w:p>
    <w:p w:rsidR="00AA36BD" w:rsidRPr="00C74099" w:rsidRDefault="00AA36BD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sportpiac makro- és mikrokörnyezeti elemzése, illetve a marketingkutatás és az SZCP marketing sportban betöltött szerepe.</w:t>
      </w:r>
    </w:p>
    <w:p w:rsidR="00AA36BD" w:rsidRPr="00C74099" w:rsidRDefault="00AA36BD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Marketingmix megjelenése a sportban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Business-to-Consumer sportszolgáltatásokban létrejövő fogyasztói érték és a közös értékteremtési folyamat jellemzői.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Business-to-Consumer sportszolgáltatásokban létrejövő fogyasztói elégedettség jellemzői és a szurkolói lojalitás modellje.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Business-to-Consumer sportszolgáltatások fogyasztói azonosulásának és a fogyasztói élmény jellemzői.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sportszolgáltatások rendszerének jellemzői, a szolgáltatás formatervezés és a sportszolgáltató szervezet sajátosságai.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sportszolgáltatások minőségének jellemzői.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versenysport szerepe a modern társadalmunkban. A sportesemények, megarendezvények társadalmi szerepe.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szabadidősport társadalmi hasznossága. (Szabadidősport és az egészséges életmód. Az egészségmegőrzés a szabadidő aktív eltöltése - hatása a társadalomra. Szabadidősport hatása a gazdasági versenyképességre.)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Nemzetközi, kontinentális, világ és mega sportesemények társadalmi, politikai és gazdasági szerepe, szerepvállalásai, eszmeisége.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lastRenderedPageBreak/>
        <w:t>Világesemények ország és város marketingben betöltött szerepe, valamint gazdasági megtérülésének realizálódására, illetve társadalmi hasznossága.</w:t>
      </w:r>
    </w:p>
    <w:p w:rsid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Az olimpiai mozgalom megszületése. Az olimpiai játékok öröksége, a játékok rendezésének gazdasági vonatkozásai.</w:t>
      </w:r>
    </w:p>
    <w:p w:rsid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 szerepe a turizmusban. Az aktív turizmus keresleti és kínálati trendjei hazánkban.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 legfontosabb nemzetközi szervezetei, azok fontosabb feladatai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„Fehér könyv” főbb fejezetei és ajánlásai, valamint a „Nizzai szerződés” lényeges megállapításai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99" w:rsidRP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sportszerződések fogalma, típusai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99" w:rsidRDefault="00C74099" w:rsidP="0070332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>A szponzorálási szerződések jellemzői, valamint az arculat-átviteli szerződés sajátosságai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32A" w:rsidRDefault="0070332A" w:rsidP="00703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32A" w:rsidRPr="0070332A" w:rsidRDefault="0070332A" w:rsidP="007033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2A">
        <w:rPr>
          <w:rFonts w:ascii="Times New Roman" w:hAnsi="Times New Roman" w:cs="Times New Roman"/>
          <w:b/>
          <w:sz w:val="24"/>
          <w:szCs w:val="24"/>
        </w:rPr>
        <w:t>B tételek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kockázat fogalma, a biztosíthatóság kritériumai, a főbb kockázatkezelési módszerek.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biztosítások főbb csoportjai a szükségletek kielégítése szerint. A biztosítási ág, ágazat és termék jellemzői.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Biztosítási szempontból amatőr és hivatásos sportoló. A sportszervezetek vezető tisztségviselői számára szükséges biztosítások jellemzői.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sportbaleset és a sportsérülés különbségei és azonosságai. A sportsérülések leggyakoribb formái biztosítási szempontból.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 xml:space="preserve">A sportolói életpálya szakaszainak és az egyes szakaszok közötti átmeneteknek a jellemzői. 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Az élsportolók civil életbe történő beilleszkedésének kihívásai, buktatói, valamint a karriertervezés jelentősége.</w:t>
      </w:r>
    </w:p>
    <w:p w:rsidR="0070332A" w:rsidRPr="0070332A" w:rsidRDefault="0070332A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sportból való visszavonulás okai (a sportbeli és sporton kívüli tényezők hatása a sportból való visszavonulás folyamatára).</w:t>
      </w:r>
    </w:p>
    <w:p w:rsidR="00C74099" w:rsidRPr="0070332A" w:rsidRDefault="00C74099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társasági adókedvezmény elszámolási módjai a látvány csapatsport támogatása tekintetében (Két módszer bemutatása).</w:t>
      </w:r>
    </w:p>
    <w:p w:rsidR="00C74099" w:rsidRPr="0070332A" w:rsidRDefault="002E5A8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pénz időértéke, jövőérték, jelenérték, évjáradék, örökjáradék kalkuláció a sportsze</w:t>
      </w:r>
      <w:r w:rsidR="00C74099" w:rsidRPr="0070332A">
        <w:rPr>
          <w:rFonts w:ascii="Times New Roman" w:hAnsi="Times New Roman" w:cs="Times New Roman"/>
          <w:sz w:val="24"/>
          <w:szCs w:val="24"/>
        </w:rPr>
        <w:t>rvezetek példáin keresztül.</w:t>
      </w:r>
    </w:p>
    <w:p w:rsidR="00C74099" w:rsidRPr="0070332A" w:rsidRDefault="002E5A8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Beruházási döntéseket támogató diszkontáló és nem diszkontáló módszerek a sportsze</w:t>
      </w:r>
      <w:r w:rsidR="006D7107" w:rsidRPr="0070332A">
        <w:rPr>
          <w:rFonts w:ascii="Times New Roman" w:hAnsi="Times New Roman" w:cs="Times New Roman"/>
          <w:sz w:val="24"/>
          <w:szCs w:val="24"/>
        </w:rPr>
        <w:t>rvezetek példáin keresztül.</w:t>
      </w:r>
    </w:p>
    <w:p w:rsidR="007D35C6" w:rsidRPr="0070332A" w:rsidRDefault="002E5A8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Számlaszintű adatszolgáltatás az áfa és az art rendszerében,</w:t>
      </w:r>
      <w:r w:rsidR="006D7107" w:rsidRPr="0070332A">
        <w:rPr>
          <w:rFonts w:ascii="Times New Roman" w:hAnsi="Times New Roman" w:cs="Times New Roman"/>
          <w:sz w:val="24"/>
          <w:szCs w:val="24"/>
        </w:rPr>
        <w:t xml:space="preserve"> az online adatszolgáltatás</w:t>
      </w:r>
      <w:r w:rsidR="00C74099" w:rsidRPr="0070332A">
        <w:rPr>
          <w:rFonts w:ascii="Times New Roman" w:hAnsi="Times New Roman" w:cs="Times New Roman"/>
          <w:sz w:val="24"/>
          <w:szCs w:val="24"/>
        </w:rPr>
        <w:t>.</w:t>
      </w:r>
    </w:p>
    <w:p w:rsidR="00AA36BD" w:rsidRPr="0070332A" w:rsidRDefault="00AA36BD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lastRenderedPageBreak/>
        <w:t>A vállalati controlling szervezet. A controlling módszertani lehetőségei sportvállalkozások életében</w:t>
      </w:r>
      <w:r w:rsidR="00C74099" w:rsidRPr="0070332A">
        <w:rPr>
          <w:rFonts w:ascii="Times New Roman" w:hAnsi="Times New Roman" w:cs="Times New Roman"/>
          <w:sz w:val="24"/>
          <w:szCs w:val="24"/>
        </w:rPr>
        <w:t>.</w:t>
      </w:r>
    </w:p>
    <w:p w:rsidR="00AA36BD" w:rsidRPr="0070332A" w:rsidRDefault="00AA36BD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vállalkozások vagyoni (eszköz és tőkeszerkezet) és pénzügyi helyzetének elemzési lehetőségei, módszertana</w:t>
      </w:r>
      <w:r w:rsidR="0070332A" w:rsidRPr="0070332A">
        <w:rPr>
          <w:rFonts w:ascii="Times New Roman" w:hAnsi="Times New Roman" w:cs="Times New Roman"/>
          <w:sz w:val="24"/>
          <w:szCs w:val="24"/>
        </w:rPr>
        <w:t>.</w:t>
      </w:r>
    </w:p>
    <w:p w:rsidR="006D7107" w:rsidRPr="0070332A" w:rsidRDefault="00AA36BD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vállalkozások jövedelmezőségi helyzetének és hatékonyságának elemzési lehetőségei, módszertana</w:t>
      </w:r>
      <w:r w:rsidR="0070332A" w:rsidRPr="0070332A">
        <w:rPr>
          <w:rFonts w:ascii="Times New Roman" w:hAnsi="Times New Roman" w:cs="Times New Roman"/>
          <w:sz w:val="24"/>
          <w:szCs w:val="24"/>
        </w:rPr>
        <w:t>.</w:t>
      </w:r>
    </w:p>
    <w:p w:rsidR="006D7107" w:rsidRPr="0070332A" w:rsidRDefault="006D7107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Mutassa be az üzleti terv felépítését és az üzleti tervvel szemben támasztott követelményeket.</w:t>
      </w:r>
    </w:p>
    <w:p w:rsidR="00C74099" w:rsidRPr="0070332A" w:rsidRDefault="009E2089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problémamegoldás folyamata, annak megközelítési lehetőségei, fontosabb szakaszai. A döntéshozatal sajátosságai a bizonyosság, kockázat és bizonytalanság összefüggésében.</w:t>
      </w:r>
    </w:p>
    <w:p w:rsidR="00C74099" w:rsidRPr="0070332A" w:rsidRDefault="009E2089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fontosabb döntéselméleti felfogásmódok, irányzatok.</w:t>
      </w:r>
    </w:p>
    <w:p w:rsidR="00C74099" w:rsidRPr="0070332A" w:rsidRDefault="009E2089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kilátáselméletet és típusai.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Thaler-féle Nudge elmélet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és néhány példán keresztül </w:t>
      </w:r>
      <w:r w:rsidRPr="0070332A">
        <w:rPr>
          <w:rFonts w:ascii="Times New Roman" w:hAnsi="Times New Roman" w:cs="Times New Roman"/>
          <w:sz w:val="24"/>
          <w:szCs w:val="24"/>
        </w:rPr>
        <w:t>annak sajátosságai</w:t>
      </w:r>
      <w:r w:rsidR="009E2089" w:rsidRPr="0070332A">
        <w:rPr>
          <w:rFonts w:ascii="Times New Roman" w:hAnsi="Times New Roman" w:cs="Times New Roman"/>
          <w:sz w:val="24"/>
          <w:szCs w:val="24"/>
        </w:rPr>
        <w:t>.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PEST analízist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(mire használjuk, mit elemzünk a módszerrel, milyen kérdésekre keressük a válaszokat, mire lesz jó az elemzés eredménye)</w:t>
      </w:r>
      <w:r w:rsidRPr="0070332A">
        <w:rPr>
          <w:rFonts w:ascii="Times New Roman" w:hAnsi="Times New Roman" w:cs="Times New Roman"/>
          <w:sz w:val="24"/>
          <w:szCs w:val="24"/>
        </w:rPr>
        <w:t>.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versenytársak </w:t>
      </w:r>
      <w:r w:rsidRPr="0070332A">
        <w:rPr>
          <w:rFonts w:ascii="Times New Roman" w:hAnsi="Times New Roman" w:cs="Times New Roman"/>
          <w:sz w:val="24"/>
          <w:szCs w:val="24"/>
        </w:rPr>
        <w:t>(üzleti) elemzésének lehetősége</w:t>
      </w:r>
      <w:r w:rsidR="009E2089" w:rsidRPr="0070332A">
        <w:rPr>
          <w:rFonts w:ascii="Times New Roman" w:hAnsi="Times New Roman" w:cs="Times New Roman"/>
          <w:sz w:val="24"/>
          <w:szCs w:val="24"/>
        </w:rPr>
        <w:t>, a Versenyképességi mátrix felépítés</w:t>
      </w:r>
      <w:r w:rsidRPr="0070332A">
        <w:rPr>
          <w:rFonts w:ascii="Times New Roman" w:hAnsi="Times New Roman" w:cs="Times New Roman"/>
          <w:sz w:val="24"/>
          <w:szCs w:val="24"/>
        </w:rPr>
        <w:t>e</w:t>
      </w:r>
      <w:r w:rsidR="0070332A" w:rsidRPr="0070332A">
        <w:rPr>
          <w:rFonts w:ascii="Times New Roman" w:hAnsi="Times New Roman" w:cs="Times New Roman"/>
          <w:sz w:val="24"/>
          <w:szCs w:val="24"/>
        </w:rPr>
        <w:t>.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</w:t>
      </w:r>
      <w:r w:rsidR="009E2089" w:rsidRPr="0070332A">
        <w:rPr>
          <w:rFonts w:ascii="Times New Roman" w:hAnsi="Times New Roman" w:cs="Times New Roman"/>
          <w:sz w:val="24"/>
          <w:szCs w:val="24"/>
        </w:rPr>
        <w:t>z integrációs stratégiák</w:t>
      </w:r>
      <w:r w:rsidRPr="0070332A">
        <w:rPr>
          <w:rFonts w:ascii="Times New Roman" w:hAnsi="Times New Roman" w:cs="Times New Roman"/>
          <w:sz w:val="24"/>
          <w:szCs w:val="24"/>
        </w:rPr>
        <w:t>. M</w:t>
      </w:r>
      <w:r w:rsidR="009E2089" w:rsidRPr="0070332A">
        <w:rPr>
          <w:rFonts w:ascii="Times New Roman" w:hAnsi="Times New Roman" w:cs="Times New Roman"/>
          <w:sz w:val="24"/>
          <w:szCs w:val="24"/>
        </w:rPr>
        <w:t>ely esetekben lehet hasznos a vertikális és a horizontális típusú stratégia!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 kutatási terv felépítése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(különösen a kutat</w:t>
      </w:r>
      <w:r w:rsidRPr="0070332A">
        <w:rPr>
          <w:rFonts w:ascii="Times New Roman" w:hAnsi="Times New Roman" w:cs="Times New Roman"/>
          <w:sz w:val="24"/>
          <w:szCs w:val="24"/>
        </w:rPr>
        <w:t>ási kérdés, a hipotézis fogalma és funkciója</w:t>
      </w:r>
      <w:r w:rsidR="009E2089" w:rsidRPr="0070332A">
        <w:rPr>
          <w:rFonts w:ascii="Times New Roman" w:hAnsi="Times New Roman" w:cs="Times New Roman"/>
          <w:sz w:val="24"/>
          <w:szCs w:val="24"/>
        </w:rPr>
        <w:t>) a fontosabb valószínűségi (”véletlen”) és nem-valószínűségi (”nem-vé</w:t>
      </w:r>
      <w:r w:rsidRPr="0070332A">
        <w:rPr>
          <w:rFonts w:ascii="Times New Roman" w:hAnsi="Times New Roman" w:cs="Times New Roman"/>
          <w:sz w:val="24"/>
          <w:szCs w:val="24"/>
        </w:rPr>
        <w:t>letlen”) mintavételi technikák</w:t>
      </w:r>
      <w:r w:rsidR="009E2089" w:rsidRPr="0070332A">
        <w:rPr>
          <w:rFonts w:ascii="Times New Roman" w:hAnsi="Times New Roman" w:cs="Times New Roman"/>
          <w:sz w:val="24"/>
          <w:szCs w:val="24"/>
        </w:rPr>
        <w:t>, illetve a kvantitatív és a kvalitatív mód</w:t>
      </w:r>
      <w:r w:rsidRPr="0070332A">
        <w:rPr>
          <w:rFonts w:ascii="Times New Roman" w:hAnsi="Times New Roman" w:cs="Times New Roman"/>
          <w:sz w:val="24"/>
          <w:szCs w:val="24"/>
        </w:rPr>
        <w:t>szertan közti főbb különbségek.</w:t>
      </w:r>
    </w:p>
    <w:p w:rsidR="00C7409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kutatás-módszertani stratégiák közül</w:t>
      </w:r>
      <w:r w:rsidRPr="0070332A">
        <w:rPr>
          <w:rFonts w:ascii="Times New Roman" w:hAnsi="Times New Roman" w:cs="Times New Roman"/>
          <w:sz w:val="24"/>
          <w:szCs w:val="24"/>
        </w:rPr>
        <w:t xml:space="preserve"> a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survey, esettanulm</w:t>
      </w:r>
      <w:r w:rsidRPr="0070332A">
        <w:rPr>
          <w:rFonts w:ascii="Times New Roman" w:hAnsi="Times New Roman" w:cs="Times New Roman"/>
          <w:sz w:val="24"/>
          <w:szCs w:val="24"/>
        </w:rPr>
        <w:t>ány, kísérlet, tartalom-elemzés bemutatása.</w:t>
      </w:r>
    </w:p>
    <w:p w:rsidR="009E2089" w:rsidRPr="0070332A" w:rsidRDefault="00A97B7F" w:rsidP="0070332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>A</w:t>
      </w:r>
      <w:r w:rsidR="009E2089" w:rsidRPr="0070332A">
        <w:rPr>
          <w:rFonts w:ascii="Times New Roman" w:hAnsi="Times New Roman" w:cs="Times New Roman"/>
          <w:sz w:val="24"/>
          <w:szCs w:val="24"/>
        </w:rPr>
        <w:t xml:space="preserve"> k</w:t>
      </w:r>
      <w:r w:rsidR="0070332A">
        <w:rPr>
          <w:rFonts w:ascii="Times New Roman" w:hAnsi="Times New Roman" w:cs="Times New Roman"/>
          <w:sz w:val="24"/>
          <w:szCs w:val="24"/>
        </w:rPr>
        <w:t>övetkező adatgyűjtési módszerek ismertetése</w:t>
      </w:r>
      <w:r w:rsidR="009E2089" w:rsidRPr="0070332A">
        <w:rPr>
          <w:rFonts w:ascii="Times New Roman" w:hAnsi="Times New Roman" w:cs="Times New Roman"/>
          <w:sz w:val="24"/>
          <w:szCs w:val="24"/>
        </w:rPr>
        <w:t>: kérdőív, interjú, fókusz-csoportos interjú, megfigyelés</w:t>
      </w:r>
      <w:r w:rsidRPr="0070332A">
        <w:rPr>
          <w:rFonts w:ascii="Times New Roman" w:hAnsi="Times New Roman" w:cs="Times New Roman"/>
          <w:sz w:val="24"/>
          <w:szCs w:val="24"/>
        </w:rPr>
        <w:t>.</w:t>
      </w:r>
    </w:p>
    <w:p w:rsidR="009E2089" w:rsidRDefault="009E2089" w:rsidP="0070332A">
      <w:pPr>
        <w:spacing w:after="0" w:line="360" w:lineRule="auto"/>
        <w:ind w:left="360"/>
        <w:jc w:val="both"/>
      </w:pPr>
    </w:p>
    <w:sectPr w:rsidR="009E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03F"/>
    <w:multiLevelType w:val="hybridMultilevel"/>
    <w:tmpl w:val="57723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FD2"/>
    <w:multiLevelType w:val="hybridMultilevel"/>
    <w:tmpl w:val="732A7A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4C73"/>
    <w:multiLevelType w:val="hybridMultilevel"/>
    <w:tmpl w:val="A610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87"/>
    <w:rsid w:val="000E1BC5"/>
    <w:rsid w:val="002271EB"/>
    <w:rsid w:val="002E5A8F"/>
    <w:rsid w:val="003D5B60"/>
    <w:rsid w:val="003E2296"/>
    <w:rsid w:val="004F6A62"/>
    <w:rsid w:val="005D356B"/>
    <w:rsid w:val="006D7107"/>
    <w:rsid w:val="0070332A"/>
    <w:rsid w:val="007D35C6"/>
    <w:rsid w:val="00843F1D"/>
    <w:rsid w:val="00953C3E"/>
    <w:rsid w:val="009E2089"/>
    <w:rsid w:val="00A17587"/>
    <w:rsid w:val="00A97B7F"/>
    <w:rsid w:val="00AA36BD"/>
    <w:rsid w:val="00AC066D"/>
    <w:rsid w:val="00BB6C57"/>
    <w:rsid w:val="00C74099"/>
    <w:rsid w:val="00D379AC"/>
    <w:rsid w:val="00F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5DB21-F6BC-4C88-A8DD-A73C3CF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Borbély Attila</dc:creator>
  <cp:lastModifiedBy>Windows-felhasználó</cp:lastModifiedBy>
  <cp:revision>2</cp:revision>
  <dcterms:created xsi:type="dcterms:W3CDTF">2018-10-30T12:31:00Z</dcterms:created>
  <dcterms:modified xsi:type="dcterms:W3CDTF">2018-10-30T12:31:00Z</dcterms:modified>
</cp:coreProperties>
</file>